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8784">
      <w:pPr>
        <w:pStyle w:val="7"/>
        <w:rPr>
          <w:rFonts w:ascii="Times New Roman"/>
          <w:sz w:val="30"/>
        </w:rPr>
      </w:pPr>
      <w:bookmarkStart w:id="1" w:name="_GoBack"/>
      <w:bookmarkEnd w:id="1"/>
    </w:p>
    <w:p w14:paraId="098E021E">
      <w:pPr>
        <w:jc w:val="center"/>
        <w:rPr>
          <w:b/>
          <w:sz w:val="24"/>
          <w:u w:val="single"/>
        </w:rPr>
      </w:pPr>
      <w:bookmarkStart w:id="0" w:name="_Hlk221292037"/>
      <w:r>
        <w:rPr>
          <w:b/>
          <w:sz w:val="24"/>
          <w:u w:val="single"/>
        </w:rPr>
        <w:t>JOB VACANCY</w:t>
      </w:r>
    </w:p>
    <w:p w14:paraId="46A35155">
      <w:pPr>
        <w:jc w:val="center"/>
        <w:rPr>
          <w:b/>
          <w:sz w:val="24"/>
          <w:u w:val="single"/>
        </w:rPr>
      </w:pPr>
    </w:p>
    <w:p w14:paraId="06DEAED9">
      <w:pPr>
        <w:jc w:val="center"/>
        <w:rPr>
          <w:b/>
          <w:sz w:val="24"/>
          <w:u w:val="single"/>
        </w:rPr>
      </w:pP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253"/>
      </w:tblGrid>
      <w:tr w14:paraId="641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6" w:type="dxa"/>
            <w:tcBorders>
              <w:top w:val="nil"/>
              <w:left w:val="nil"/>
              <w:bottom w:val="nil"/>
              <w:right w:val="nil"/>
            </w:tcBorders>
            <w:shd w:val="clear" w:color="auto" w:fill="auto"/>
          </w:tcPr>
          <w:p w14:paraId="23D20CF1">
            <w:pPr>
              <w:jc w:val="center"/>
              <w:rPr>
                <w:b/>
                <w:bCs/>
              </w:rPr>
            </w:pPr>
            <w:r>
              <w:rPr>
                <w:b/>
                <w:bCs/>
              </w:rPr>
              <w:t>BASE</w:t>
            </w:r>
          </w:p>
        </w:tc>
        <w:tc>
          <w:tcPr>
            <w:tcW w:w="8253" w:type="dxa"/>
            <w:tcBorders>
              <w:top w:val="nil"/>
              <w:left w:val="nil"/>
              <w:bottom w:val="single" w:color="FFFFFF" w:themeColor="background1" w:sz="4" w:space="0"/>
              <w:right w:val="nil"/>
            </w:tcBorders>
            <w:shd w:val="clear" w:color="auto" w:fill="4F81BD" w:themeFill="accent1"/>
          </w:tcPr>
          <w:p w14:paraId="4C473DA9">
            <w:pPr>
              <w:jc w:val="center"/>
              <w:rPr>
                <w:rFonts w:hint="default" w:cs="Calibri"/>
                <w:b/>
                <w:bCs/>
                <w:lang w:val="en-US" w:bidi="ar-SY"/>
              </w:rPr>
            </w:pPr>
            <w:r>
              <w:rPr>
                <w:rFonts w:hint="default" w:cs="Calibri"/>
                <w:b/>
                <w:bCs/>
                <w:lang w:val="en-US" w:bidi="ar-SY"/>
              </w:rPr>
              <w:t>Aleppo</w:t>
            </w:r>
          </w:p>
        </w:tc>
      </w:tr>
      <w:tr w14:paraId="156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6" w:type="dxa"/>
            <w:tcBorders>
              <w:top w:val="nil"/>
              <w:left w:val="nil"/>
              <w:bottom w:val="nil"/>
              <w:right w:val="nil"/>
            </w:tcBorders>
            <w:shd w:val="clear" w:color="auto" w:fill="auto"/>
            <w:vAlign w:val="center"/>
          </w:tcPr>
          <w:p w14:paraId="223DE619">
            <w:pPr>
              <w:jc w:val="center"/>
              <w:rPr>
                <w:b/>
                <w:bCs/>
              </w:rPr>
            </w:pPr>
            <w:r>
              <w:rPr>
                <w:b/>
                <w:bCs/>
              </w:rPr>
              <w:t>POSITION</w:t>
            </w:r>
          </w:p>
        </w:tc>
        <w:tc>
          <w:tcPr>
            <w:tcW w:w="8253" w:type="dxa"/>
            <w:tcBorders>
              <w:top w:val="single" w:color="FFFFFF" w:themeColor="background1" w:sz="4" w:space="0"/>
              <w:left w:val="nil"/>
              <w:bottom w:val="nil"/>
              <w:right w:val="nil"/>
            </w:tcBorders>
            <w:shd w:val="clear" w:color="auto" w:fill="4F81BD" w:themeFill="accent1"/>
            <w:vAlign w:val="center"/>
          </w:tcPr>
          <w:p w14:paraId="3BB121C0">
            <w:pPr>
              <w:jc w:val="center"/>
              <w:rPr>
                <w:b w:val="0"/>
                <w:bCs w:val="0"/>
                <w:sz w:val="16"/>
                <w:szCs w:val="16"/>
              </w:rPr>
            </w:pPr>
            <w:r>
              <w:rPr>
                <w:rStyle w:val="13"/>
                <w:b w:val="0"/>
                <w:bCs w:val="0"/>
              </w:rPr>
              <w:t>Primary Health Officer</w:t>
            </w:r>
          </w:p>
        </w:tc>
      </w:tr>
    </w:tbl>
    <w:p w14:paraId="0A3FD607">
      <w:pPr>
        <w:pStyle w:val="3"/>
        <w:ind w:left="629"/>
        <w:rPr>
          <w:rFonts w:ascii="Calibri"/>
        </w:rPr>
      </w:pPr>
    </w:p>
    <w:p w14:paraId="6EF2320B">
      <w:pPr>
        <w:pStyle w:val="12"/>
        <w:spacing w:before="0" w:beforeAutospacing="0"/>
      </w:pPr>
      <w:r>
        <w:rPr>
          <w:rStyle w:val="13"/>
        </w:rPr>
        <w:t>Location:</w:t>
      </w:r>
      <w:r>
        <w:t xml:space="preserve"> Aleppo Governorate, Syria (As-Safira and Jabal Sam’an Districts)</w:t>
      </w:r>
      <w:r>
        <w:br w:type="textWrapping"/>
      </w:r>
      <w:r>
        <w:rPr>
          <w:rStyle w:val="13"/>
        </w:rPr>
        <w:t>Department:</w:t>
      </w:r>
      <w:r>
        <w:t xml:space="preserve"> Health</w:t>
      </w:r>
      <w:r>
        <w:br w:type="textWrapping"/>
      </w:r>
      <w:r>
        <w:rPr>
          <w:rStyle w:val="13"/>
        </w:rPr>
        <w:t>Reports to:</w:t>
      </w:r>
      <w:r>
        <w:t xml:space="preserve"> Primary and Community Health Specialist</w:t>
      </w:r>
      <w:r>
        <w:br w:type="textWrapping"/>
      </w:r>
      <w:r>
        <w:rPr>
          <w:rStyle w:val="13"/>
        </w:rPr>
        <w:t>Coordination With:</w:t>
      </w:r>
      <w:r>
        <w:t xml:space="preserve"> Health Team, MEAL/IM Team, Program Team, Directorate of Health (DoH)</w:t>
      </w:r>
      <w:r>
        <w:br w:type="textWrapping"/>
      </w:r>
      <w:r>
        <w:rPr>
          <w:rStyle w:val="13"/>
        </w:rPr>
        <w:t>Contract Type:</w:t>
      </w:r>
      <w:r>
        <w:t xml:space="preserve"> Fixed</w:t>
      </w:r>
      <w:r>
        <w:br w:type="textWrapping"/>
      </w:r>
      <w:r>
        <w:rPr>
          <w:rStyle w:val="13"/>
        </w:rPr>
        <w:t>Duration:</w:t>
      </w:r>
      <w:r>
        <w:t xml:space="preserve"> 12 months (extendable based on performance)</w:t>
      </w:r>
    </w:p>
    <w:p w14:paraId="43361D30">
      <w:pPr>
        <w:pStyle w:val="3"/>
        <w:spacing w:before="0"/>
      </w:pPr>
      <w:r>
        <w:rPr>
          <w:rStyle w:val="13"/>
          <w:b/>
          <w:bCs/>
        </w:rPr>
        <w:t>Background</w:t>
      </w:r>
    </w:p>
    <w:p w14:paraId="41B26AA8">
      <w:pPr>
        <w:pStyle w:val="12"/>
        <w:spacing w:before="0" w:beforeAutospacing="0"/>
      </w:pPr>
      <w:r>
        <w:t>Un Ponte Per (UPP) supports essential primary healthcare services across Aleppo Governorate in close collaboration with the Directorate of Health (DoH) and implementing partners. Ensuring quality, continuity, and equitable access to PHC services is central to UPP’s health strategy.</w:t>
      </w:r>
    </w:p>
    <w:p w14:paraId="53D97B2E">
      <w:pPr>
        <w:pStyle w:val="3"/>
        <w:spacing w:before="0"/>
      </w:pPr>
      <w:r>
        <w:rPr>
          <w:rStyle w:val="13"/>
          <w:b/>
          <w:bCs/>
        </w:rPr>
        <w:t>Purpose of the Position</w:t>
      </w:r>
    </w:p>
    <w:p w14:paraId="095677F0">
      <w:pPr>
        <w:pStyle w:val="12"/>
        <w:spacing w:before="0" w:beforeAutospacing="0"/>
      </w:pPr>
      <w:r>
        <w:t>The Health Officer ensures high</w:t>
      </w:r>
      <w:r>
        <w:noBreakHyphen/>
      </w:r>
      <w:r>
        <w:t>quality primary healthcare service delivery across UPP</w:t>
      </w:r>
      <w:r>
        <w:noBreakHyphen/>
      </w:r>
      <w:r>
        <w:t>supported health facilities. The role focuses on field level supportive supervision, quality assurance, capacity building, coordination with authorities and partners, and monitoring of service performance. The Primary Health Officer works under the Primary and Community Health Specialist/Health Coordinator and collaborates closely with the DoH.</w:t>
      </w:r>
    </w:p>
    <w:p w14:paraId="5C281FA0">
      <w:pPr>
        <w:pStyle w:val="3"/>
      </w:pPr>
      <w:r>
        <w:rPr>
          <w:rStyle w:val="13"/>
          <w:b/>
          <w:bCs/>
        </w:rPr>
        <w:t>Key Responsibilities</w:t>
      </w:r>
    </w:p>
    <w:p w14:paraId="25C9EA90">
      <w:pPr>
        <w:pStyle w:val="4"/>
        <w:spacing w:before="0"/>
      </w:pPr>
      <w:r>
        <w:rPr>
          <w:rStyle w:val="13"/>
          <w:b/>
          <w:bCs/>
        </w:rPr>
        <w:t>A. Supportive Supervision &amp; Quality Assurance</w:t>
      </w:r>
    </w:p>
    <w:p w14:paraId="2B4BEA18">
      <w:pPr>
        <w:numPr>
          <w:ilvl w:val="0"/>
          <w:numId w:val="1"/>
        </w:numPr>
        <w:spacing w:after="100" w:afterAutospacing="1" w:line="240" w:lineRule="auto"/>
      </w:pPr>
      <w:r>
        <w:t>Conduct regular field supportive supervision visits using standardized quality monitoring tools and clinical audit checklists.</w:t>
      </w:r>
    </w:p>
    <w:p w14:paraId="14442F0F">
      <w:pPr>
        <w:numPr>
          <w:ilvl w:val="0"/>
          <w:numId w:val="1"/>
        </w:numPr>
        <w:spacing w:before="100" w:beforeAutospacing="1" w:after="100" w:afterAutospacing="1" w:line="240" w:lineRule="auto"/>
      </w:pPr>
      <w:r>
        <w:t>Provide technical guidance to ensure adherence to MoH/WHO protocols, SoPs, and quality standards.</w:t>
      </w:r>
    </w:p>
    <w:p w14:paraId="4D862224">
      <w:pPr>
        <w:numPr>
          <w:ilvl w:val="0"/>
          <w:numId w:val="1"/>
        </w:numPr>
        <w:spacing w:before="100" w:beforeAutospacing="1" w:after="100" w:afterAutospacing="1" w:line="240" w:lineRule="auto"/>
      </w:pPr>
      <w:r>
        <w:t>Identify service delivery gaps and recommend corrective actions.</w:t>
      </w:r>
    </w:p>
    <w:p w14:paraId="13BE3C08">
      <w:pPr>
        <w:numPr>
          <w:ilvl w:val="0"/>
          <w:numId w:val="1"/>
        </w:numPr>
        <w:spacing w:before="100" w:beforeAutospacing="1" w:after="100" w:afterAutospacing="1" w:line="240" w:lineRule="auto"/>
      </w:pPr>
      <w:r>
        <w:t>Monitor availability and appropriate use of medical supplies, equipment, and essential medicines.</w:t>
      </w:r>
    </w:p>
    <w:p w14:paraId="265EE336">
      <w:pPr>
        <w:pStyle w:val="4"/>
        <w:spacing w:before="0"/>
      </w:pPr>
      <w:r>
        <w:rPr>
          <w:rStyle w:val="13"/>
          <w:b/>
          <w:bCs/>
        </w:rPr>
        <w:t>B. Technical Oversight of Primary Healthcare Services</w:t>
      </w:r>
    </w:p>
    <w:p w14:paraId="4037342F">
      <w:pPr>
        <w:numPr>
          <w:ilvl w:val="0"/>
          <w:numId w:val="2"/>
        </w:numPr>
        <w:spacing w:after="100" w:afterAutospacing="1" w:line="240" w:lineRule="auto"/>
      </w:pPr>
      <w:r>
        <w:t>Support oversight of key PHC components: communicable disease surveillance, emergency care and referrals, child health and nutrition, reproductive health, NCDs, MHPSS, and community health.</w:t>
      </w:r>
    </w:p>
    <w:p w14:paraId="0D895C4A">
      <w:pPr>
        <w:numPr>
          <w:ilvl w:val="0"/>
          <w:numId w:val="2"/>
        </w:numPr>
        <w:spacing w:before="100" w:beforeAutospacing="1" w:after="100" w:afterAutospacing="1" w:line="240" w:lineRule="auto"/>
      </w:pPr>
      <w:r>
        <w:t>Provide technical input to strengthen clinical workflows, triage, IPC, and patient flow.</w:t>
      </w:r>
    </w:p>
    <w:p w14:paraId="4F288428">
      <w:pPr>
        <w:pStyle w:val="4"/>
        <w:spacing w:before="0"/>
      </w:pPr>
      <w:r>
        <w:rPr>
          <w:rStyle w:val="13"/>
          <w:b/>
          <w:bCs/>
        </w:rPr>
        <w:t>C. Pharmaceutical &amp; Medical Commodities Management</w:t>
      </w:r>
    </w:p>
    <w:p w14:paraId="07B95BAC">
      <w:pPr>
        <w:numPr>
          <w:ilvl w:val="0"/>
          <w:numId w:val="3"/>
        </w:numPr>
        <w:spacing w:after="100" w:afterAutospacing="1" w:line="240" w:lineRule="auto"/>
      </w:pPr>
      <w:r>
        <w:t>Support proper management of medicines and medical commodities, including forecasting, stock monitoring, and rational drug use.</w:t>
      </w:r>
    </w:p>
    <w:p w14:paraId="4F2D82B4">
      <w:pPr>
        <w:numPr>
          <w:ilvl w:val="0"/>
          <w:numId w:val="3"/>
        </w:numPr>
        <w:spacing w:after="100" w:afterAutospacing="1" w:line="240" w:lineRule="auto"/>
      </w:pPr>
      <w:r>
        <w:t>Review stock reports and consumption trends to prevent stockouts or overstocking.</w:t>
      </w:r>
    </w:p>
    <w:p w14:paraId="671A3343">
      <w:pPr>
        <w:numPr>
          <w:ilvl w:val="0"/>
          <w:numId w:val="3"/>
        </w:numPr>
        <w:spacing w:before="100" w:beforeAutospacing="1" w:after="100" w:afterAutospacing="1" w:line="240" w:lineRule="auto"/>
      </w:pPr>
      <w:r>
        <w:t>Provide guidance on storage, inventory control, dispensing practices, and compliance with MoH/WHO standards.</w:t>
      </w:r>
    </w:p>
    <w:p w14:paraId="4FCDC712">
      <w:pPr>
        <w:numPr>
          <w:ilvl w:val="0"/>
          <w:numId w:val="3"/>
        </w:numPr>
        <w:spacing w:before="100" w:beforeAutospacing="1" w:after="100" w:afterAutospacing="1" w:line="240" w:lineRule="auto"/>
      </w:pPr>
      <w:r>
        <w:t>Coordinate with partners, DoH, and UPP teams to strengthen supply chain management and pharmaceutical stewardship.</w:t>
      </w:r>
    </w:p>
    <w:p w14:paraId="53568AFA">
      <w:pPr>
        <w:pStyle w:val="4"/>
        <w:spacing w:before="0"/>
      </w:pPr>
      <w:r>
        <w:rPr>
          <w:rStyle w:val="13"/>
          <w:b/>
          <w:bCs/>
        </w:rPr>
        <w:t>D. Capacity Building &amp; Clinical Mentoring</w:t>
      </w:r>
    </w:p>
    <w:p w14:paraId="0BD5060A">
      <w:pPr>
        <w:numPr>
          <w:ilvl w:val="0"/>
          <w:numId w:val="4"/>
        </w:numPr>
        <w:spacing w:after="100" w:afterAutospacing="1" w:line="240" w:lineRule="auto"/>
      </w:pPr>
      <w:r>
        <w:t>Deliver training, on</w:t>
      </w:r>
      <w:r>
        <w:noBreakHyphen/>
      </w:r>
      <w:r>
        <w:t>the</w:t>
      </w:r>
      <w:r>
        <w:noBreakHyphen/>
      </w:r>
      <w:r>
        <w:t>job coaching, and refresher sessions on clinical guidelines, SoPs, and quality assurance.</w:t>
      </w:r>
    </w:p>
    <w:p w14:paraId="3E6A2F60">
      <w:pPr>
        <w:numPr>
          <w:ilvl w:val="0"/>
          <w:numId w:val="4"/>
        </w:numPr>
        <w:spacing w:before="100" w:beforeAutospacing="1" w:after="100" w:afterAutospacing="1" w:line="240" w:lineRule="auto"/>
      </w:pPr>
      <w:r>
        <w:t>Develop and follow up on facility</w:t>
      </w:r>
      <w:r>
        <w:noBreakHyphen/>
      </w:r>
      <w:r>
        <w:t>specific capacity</w:t>
      </w:r>
      <w:r>
        <w:noBreakHyphen/>
      </w:r>
      <w:r>
        <w:t>building plans.</w:t>
      </w:r>
    </w:p>
    <w:p w14:paraId="31D33B63">
      <w:pPr>
        <w:numPr>
          <w:ilvl w:val="0"/>
          <w:numId w:val="4"/>
        </w:numPr>
        <w:spacing w:before="100" w:beforeAutospacing="1" w:after="100" w:afterAutospacing="1" w:line="240" w:lineRule="auto"/>
      </w:pPr>
      <w:r>
        <w:t>Mentor health staff on case management, documentation, and protocol adherence.</w:t>
      </w:r>
    </w:p>
    <w:p w14:paraId="4A0E209C">
      <w:pPr>
        <w:pStyle w:val="4"/>
        <w:spacing w:before="0"/>
      </w:pPr>
      <w:r>
        <w:rPr>
          <w:rStyle w:val="13"/>
          <w:b/>
          <w:bCs/>
        </w:rPr>
        <w:t>E. Strengthening Local Health Governance</w:t>
      </w:r>
    </w:p>
    <w:p w14:paraId="5B689951">
      <w:pPr>
        <w:numPr>
          <w:ilvl w:val="0"/>
          <w:numId w:val="5"/>
        </w:numPr>
        <w:spacing w:after="100" w:afterAutospacing="1" w:line="240" w:lineRule="auto"/>
      </w:pPr>
      <w:r>
        <w:t>Support District Health Directorates (As</w:t>
      </w:r>
      <w:r>
        <w:noBreakHyphen/>
      </w:r>
      <w:r>
        <w:t>Safira and Jabal Sama’n) in PHC management, planning, and supervision.</w:t>
      </w:r>
    </w:p>
    <w:p w14:paraId="65454010">
      <w:pPr>
        <w:numPr>
          <w:ilvl w:val="0"/>
          <w:numId w:val="5"/>
        </w:numPr>
        <w:spacing w:before="100" w:beforeAutospacing="1" w:after="100" w:afterAutospacing="1" w:line="240" w:lineRule="auto"/>
      </w:pPr>
      <w:r>
        <w:t>Build district</w:t>
      </w:r>
      <w:r>
        <w:noBreakHyphen/>
      </w:r>
      <w:r>
        <w:t>level capacity in quality assurance, data</w:t>
      </w:r>
      <w:r>
        <w:noBreakHyphen/>
      </w:r>
      <w:r>
        <w:t>driven decision</w:t>
      </w:r>
      <w:r>
        <w:noBreakHyphen/>
      </w:r>
      <w:r>
        <w:t>making, and implementation of national health policies.</w:t>
      </w:r>
    </w:p>
    <w:p w14:paraId="4B5BAE20">
      <w:pPr>
        <w:numPr>
          <w:ilvl w:val="0"/>
          <w:numId w:val="5"/>
        </w:numPr>
        <w:spacing w:before="100" w:beforeAutospacing="1" w:after="100" w:afterAutospacing="1" w:line="240" w:lineRule="auto"/>
      </w:pPr>
      <w:r>
        <w:t>Contribute to strengthening sustainable local health governance systems.</w:t>
      </w:r>
    </w:p>
    <w:p w14:paraId="5BFCAADB">
      <w:pPr>
        <w:pStyle w:val="4"/>
        <w:spacing w:before="0"/>
      </w:pPr>
      <w:r>
        <w:rPr>
          <w:rStyle w:val="13"/>
          <w:b/>
          <w:bCs/>
        </w:rPr>
        <w:t>F. Coordination &amp; Representation</w:t>
      </w:r>
    </w:p>
    <w:p w14:paraId="4DAF759E">
      <w:pPr>
        <w:numPr>
          <w:ilvl w:val="0"/>
          <w:numId w:val="6"/>
        </w:numPr>
        <w:spacing w:after="100" w:afterAutospacing="1" w:line="240" w:lineRule="auto"/>
      </w:pPr>
      <w:r>
        <w:t>Serve as focal point for area</w:t>
      </w:r>
      <w:r>
        <w:noBreakHyphen/>
      </w:r>
      <w:r>
        <w:t>based coordination with the DoH and other health actors.</w:t>
      </w:r>
    </w:p>
    <w:p w14:paraId="154ADC1C">
      <w:pPr>
        <w:numPr>
          <w:ilvl w:val="0"/>
          <w:numId w:val="6"/>
        </w:numPr>
        <w:spacing w:before="100" w:beforeAutospacing="1" w:after="100" w:afterAutospacing="1" w:line="240" w:lineRule="auto"/>
      </w:pPr>
      <w:r>
        <w:t>Ensure effective communication between health facilities, UPP teams, and external stakeholders.</w:t>
      </w:r>
    </w:p>
    <w:p w14:paraId="5840A097">
      <w:pPr>
        <w:numPr>
          <w:ilvl w:val="0"/>
          <w:numId w:val="6"/>
        </w:numPr>
        <w:spacing w:before="100" w:beforeAutospacing="1" w:after="100" w:afterAutospacing="1" w:line="240" w:lineRule="auto"/>
      </w:pPr>
      <w:r>
        <w:t>Coordinate closely with UPP logistics, program, WASH, and protection teams.</w:t>
      </w:r>
    </w:p>
    <w:p w14:paraId="7EBD8DDC">
      <w:pPr>
        <w:pStyle w:val="4"/>
        <w:spacing w:before="0"/>
      </w:pPr>
      <w:r>
        <w:rPr>
          <w:rStyle w:val="13"/>
          <w:b/>
          <w:bCs/>
        </w:rPr>
        <w:t>G. Assessments, Monitoring &amp; Information Management</w:t>
      </w:r>
    </w:p>
    <w:p w14:paraId="08668B93">
      <w:pPr>
        <w:numPr>
          <w:ilvl w:val="0"/>
          <w:numId w:val="7"/>
        </w:numPr>
        <w:spacing w:after="100" w:afterAutospacing="1" w:line="240" w:lineRule="auto"/>
      </w:pPr>
      <w:r>
        <w:t>Support health facility assessments, needs assessments, and thematic surveys.</w:t>
      </w:r>
    </w:p>
    <w:p w14:paraId="2D3B4579">
      <w:pPr>
        <w:numPr>
          <w:ilvl w:val="0"/>
          <w:numId w:val="7"/>
        </w:numPr>
        <w:spacing w:before="100" w:beforeAutospacing="1" w:after="100" w:afterAutospacing="1" w:line="240" w:lineRule="auto"/>
      </w:pPr>
      <w:r>
        <w:t>Contribute to analysis of disease trends, morbidity patterns, and service utilization.</w:t>
      </w:r>
    </w:p>
    <w:p w14:paraId="439E30B2">
      <w:pPr>
        <w:numPr>
          <w:ilvl w:val="0"/>
          <w:numId w:val="7"/>
        </w:numPr>
        <w:spacing w:before="100" w:beforeAutospacing="1" w:after="100" w:afterAutospacing="1" w:line="240" w:lineRule="auto"/>
      </w:pPr>
      <w:r>
        <w:t>Coordinate with MEAL/IM teams to ensure accurate HMIS, proper documentation, and improved data quality.</w:t>
      </w:r>
    </w:p>
    <w:p w14:paraId="2CA86F8A">
      <w:pPr>
        <w:pStyle w:val="4"/>
      </w:pPr>
      <w:r>
        <w:rPr>
          <w:rStyle w:val="13"/>
          <w:b/>
          <w:bCs/>
        </w:rPr>
        <w:t>H. Reporting</w:t>
      </w:r>
    </w:p>
    <w:p w14:paraId="669A6A44">
      <w:pPr>
        <w:numPr>
          <w:ilvl w:val="0"/>
          <w:numId w:val="8"/>
        </w:numPr>
        <w:spacing w:before="100" w:beforeAutospacing="1" w:after="100" w:afterAutospacing="1" w:line="240" w:lineRule="auto"/>
      </w:pPr>
      <w:r>
        <w:t>Prepare weekly and monthly reports on health activities, supervision findings, and facility performance.</w:t>
      </w:r>
    </w:p>
    <w:p w14:paraId="752B658F">
      <w:pPr>
        <w:numPr>
          <w:ilvl w:val="0"/>
          <w:numId w:val="8"/>
        </w:numPr>
        <w:spacing w:before="100" w:beforeAutospacing="1" w:after="100" w:afterAutospacing="1" w:line="240" w:lineRule="auto"/>
      </w:pPr>
      <w:r>
        <w:t>Document challenges, progress, and recommendations for improvement.</w:t>
      </w:r>
    </w:p>
    <w:p w14:paraId="0A259050">
      <w:pPr>
        <w:numPr>
          <w:ilvl w:val="0"/>
          <w:numId w:val="8"/>
        </w:numPr>
        <w:spacing w:before="100" w:beforeAutospacing="1" w:after="100" w:afterAutospacing="1" w:line="240" w:lineRule="auto"/>
      </w:pPr>
      <w:r>
        <w:t>Contribute to donor and internal reporting as required.</w:t>
      </w:r>
    </w:p>
    <w:p w14:paraId="7F16780A">
      <w:pPr>
        <w:pStyle w:val="3"/>
      </w:pPr>
      <w:r>
        <w:rPr>
          <w:rStyle w:val="13"/>
          <w:b/>
          <w:bCs/>
        </w:rPr>
        <w:t>4. Required Qualifications</w:t>
      </w:r>
    </w:p>
    <w:p w14:paraId="25536616">
      <w:pPr>
        <w:pStyle w:val="4"/>
      </w:pPr>
      <w:r>
        <w:rPr>
          <w:rStyle w:val="13"/>
          <w:b/>
          <w:bCs/>
        </w:rPr>
        <w:t>Education</w:t>
      </w:r>
    </w:p>
    <w:p w14:paraId="18EBE542">
      <w:pPr>
        <w:numPr>
          <w:ilvl w:val="0"/>
          <w:numId w:val="9"/>
        </w:numPr>
        <w:spacing w:before="100" w:beforeAutospacing="1" w:after="100" w:afterAutospacing="1" w:line="240" w:lineRule="auto"/>
      </w:pPr>
      <w:r>
        <w:t>Medical degree (Medicine, Pharmacy, or Nursing).</w:t>
      </w:r>
    </w:p>
    <w:p w14:paraId="3D662D61">
      <w:pPr>
        <w:pStyle w:val="4"/>
        <w:spacing w:before="0"/>
      </w:pPr>
      <w:r>
        <w:rPr>
          <w:rStyle w:val="13"/>
          <w:b/>
          <w:bCs/>
        </w:rPr>
        <w:t>Experience</w:t>
      </w:r>
    </w:p>
    <w:p w14:paraId="32DFBDC5">
      <w:pPr>
        <w:numPr>
          <w:ilvl w:val="0"/>
          <w:numId w:val="10"/>
        </w:numPr>
        <w:spacing w:after="100" w:afterAutospacing="1" w:line="240" w:lineRule="auto"/>
      </w:pPr>
      <w:r>
        <w:t>Minimum 3 years of experience in the health sector, preferably with INGOs.</w:t>
      </w:r>
    </w:p>
    <w:p w14:paraId="7DEFE60C">
      <w:pPr>
        <w:numPr>
          <w:ilvl w:val="0"/>
          <w:numId w:val="10"/>
        </w:numPr>
        <w:spacing w:after="100" w:afterAutospacing="1" w:line="240" w:lineRule="auto"/>
      </w:pPr>
      <w:r>
        <w:t>Experience in clinical mentoring, PHC service delivery, and quality improvement.</w:t>
      </w:r>
    </w:p>
    <w:p w14:paraId="027D0711">
      <w:pPr>
        <w:numPr>
          <w:ilvl w:val="0"/>
          <w:numId w:val="10"/>
        </w:numPr>
        <w:spacing w:after="100" w:afterAutospacing="1" w:line="240" w:lineRule="auto"/>
      </w:pPr>
      <w:r>
        <w:t xml:space="preserve">Experience in Pharmaceuticals and Medical Commodities management </w:t>
      </w:r>
    </w:p>
    <w:p w14:paraId="3CA0CF70">
      <w:pPr>
        <w:numPr>
          <w:ilvl w:val="0"/>
          <w:numId w:val="10"/>
        </w:numPr>
        <w:spacing w:before="100" w:beforeAutospacing="1" w:after="100" w:afterAutospacing="1" w:line="240" w:lineRule="auto"/>
      </w:pPr>
      <w:r>
        <w:t>Experience with emergency care and referral systems.</w:t>
      </w:r>
    </w:p>
    <w:p w14:paraId="4FF899CA">
      <w:pPr>
        <w:numPr>
          <w:ilvl w:val="0"/>
          <w:numId w:val="10"/>
        </w:numPr>
        <w:spacing w:before="100" w:beforeAutospacing="1" w:after="100" w:afterAutospacing="1" w:line="240" w:lineRule="auto"/>
      </w:pPr>
      <w:r>
        <w:t>Familiarity with WHO/MoH protocols and quality assurance frameworks.</w:t>
      </w:r>
    </w:p>
    <w:p w14:paraId="1CB42050">
      <w:pPr>
        <w:numPr>
          <w:ilvl w:val="0"/>
          <w:numId w:val="10"/>
        </w:numPr>
        <w:spacing w:after="100" w:afterAutospacing="1" w:line="240" w:lineRule="auto"/>
      </w:pPr>
      <w:r>
        <w:t>Experience with HMIS, MEAL tools, and case</w:t>
      </w:r>
      <w:r>
        <w:noBreakHyphen/>
      </w:r>
      <w:r>
        <w:t>tracking systems.</w:t>
      </w:r>
    </w:p>
    <w:p w14:paraId="1A75BA7A">
      <w:pPr>
        <w:pStyle w:val="4"/>
        <w:spacing w:before="0"/>
      </w:pPr>
      <w:r>
        <w:rPr>
          <w:rStyle w:val="13"/>
          <w:b/>
          <w:bCs/>
        </w:rPr>
        <w:t>Skills &amp; Competencies</w:t>
      </w:r>
    </w:p>
    <w:p w14:paraId="04BC75CE">
      <w:pPr>
        <w:numPr>
          <w:ilvl w:val="0"/>
          <w:numId w:val="11"/>
        </w:numPr>
        <w:spacing w:after="100" w:afterAutospacing="1" w:line="240" w:lineRule="auto"/>
      </w:pPr>
      <w:r>
        <w:t>Strong clinical knowledge of PHC service delivery.</w:t>
      </w:r>
    </w:p>
    <w:p w14:paraId="1F54A5CC">
      <w:pPr>
        <w:numPr>
          <w:ilvl w:val="0"/>
          <w:numId w:val="11"/>
        </w:numPr>
        <w:spacing w:after="100" w:afterAutospacing="1" w:line="240" w:lineRule="auto"/>
      </w:pPr>
      <w:r>
        <w:t>Excellent communication, facilitation, and mentoring skills.</w:t>
      </w:r>
    </w:p>
    <w:p w14:paraId="79612CE5">
      <w:pPr>
        <w:numPr>
          <w:ilvl w:val="0"/>
          <w:numId w:val="11"/>
        </w:numPr>
        <w:spacing w:after="100" w:afterAutospacing="1" w:line="240" w:lineRule="auto"/>
      </w:pPr>
      <w:r>
        <w:t>Strong analytical and reporting skills.</w:t>
      </w:r>
    </w:p>
    <w:p w14:paraId="44C142D0">
      <w:pPr>
        <w:numPr>
          <w:ilvl w:val="0"/>
          <w:numId w:val="11"/>
        </w:numPr>
        <w:spacing w:before="100" w:beforeAutospacing="1" w:after="100" w:afterAutospacing="1" w:line="240" w:lineRule="auto"/>
      </w:pPr>
      <w:r>
        <w:t>Ability to work collaboratively with authorities, partners, and multidisciplinary teams.</w:t>
      </w:r>
    </w:p>
    <w:p w14:paraId="3B200058">
      <w:pPr>
        <w:numPr>
          <w:ilvl w:val="0"/>
          <w:numId w:val="11"/>
        </w:numPr>
        <w:spacing w:before="100" w:beforeAutospacing="1" w:after="100" w:afterAutospacing="1" w:line="240" w:lineRule="auto"/>
      </w:pPr>
      <w:r>
        <w:t>Fluency in Arabic and English.</w:t>
      </w:r>
    </w:p>
    <w:p w14:paraId="5896FF5C">
      <w:pPr>
        <w:numPr>
          <w:ilvl w:val="0"/>
          <w:numId w:val="11"/>
        </w:numPr>
        <w:spacing w:before="100" w:beforeAutospacing="1" w:after="100" w:afterAutospacing="1" w:line="240" w:lineRule="auto"/>
      </w:pPr>
      <w:r>
        <w:t>Willingness to travel regularly within Aleppo Governorate.</w:t>
      </w:r>
    </w:p>
    <w:p w14:paraId="520F9D2F">
      <w:pPr>
        <w:pStyle w:val="3"/>
        <w:spacing w:before="0"/>
      </w:pPr>
      <w:r>
        <w:rPr>
          <w:rStyle w:val="13"/>
          <w:b/>
          <w:bCs/>
        </w:rPr>
        <w:t>5. Merit Criteria (Assets)</w:t>
      </w:r>
    </w:p>
    <w:p w14:paraId="2FC687C9">
      <w:pPr>
        <w:numPr>
          <w:ilvl w:val="0"/>
          <w:numId w:val="12"/>
        </w:numPr>
        <w:spacing w:after="100" w:afterAutospacing="1" w:line="240" w:lineRule="auto"/>
      </w:pPr>
      <w:r>
        <w:t>Master’s degree in Healthcare Management, Public Health, or related field.</w:t>
      </w:r>
    </w:p>
    <w:p w14:paraId="319C8F14">
      <w:pPr>
        <w:numPr>
          <w:ilvl w:val="0"/>
          <w:numId w:val="12"/>
        </w:numPr>
        <w:spacing w:after="100" w:afterAutospacing="1" w:line="240" w:lineRule="auto"/>
      </w:pPr>
      <w:r>
        <w:t>Knowledge of GBV</w:t>
      </w:r>
      <w:r>
        <w:noBreakHyphen/>
      </w:r>
      <w:r>
        <w:t>sensitive and protection</w:t>
      </w:r>
      <w:r>
        <w:noBreakHyphen/>
      </w:r>
      <w:r>
        <w:t>integrated programming.</w:t>
      </w:r>
    </w:p>
    <w:p w14:paraId="66678E18">
      <w:pPr>
        <w:numPr>
          <w:ilvl w:val="0"/>
          <w:numId w:val="12"/>
        </w:numPr>
        <w:spacing w:before="100" w:beforeAutospacing="1" w:after="100" w:afterAutospacing="1" w:line="240" w:lineRule="auto"/>
      </w:pPr>
      <w:r>
        <w:t>Familiarity with the humanitarian health cluster system.</w:t>
      </w:r>
    </w:p>
    <w:p w14:paraId="6FCDAEA5">
      <w:pPr>
        <w:pStyle w:val="3"/>
        <w:spacing w:before="0"/>
      </w:pPr>
      <w:r>
        <w:rPr>
          <w:rStyle w:val="13"/>
          <w:b/>
          <w:bCs/>
        </w:rPr>
        <w:t>6. Safeguarding &amp; Ethics</w:t>
      </w:r>
    </w:p>
    <w:p w14:paraId="28981A9B">
      <w:pPr>
        <w:numPr>
          <w:ilvl w:val="0"/>
          <w:numId w:val="13"/>
        </w:numPr>
        <w:spacing w:after="100" w:afterAutospacing="1" w:line="240" w:lineRule="auto"/>
      </w:pPr>
      <w:r>
        <w:t>Adhere to UPP’s safeguarding, PSEA, child protection, and confidentiality policies.</w:t>
      </w:r>
    </w:p>
    <w:p w14:paraId="1D0AB7B5">
      <w:pPr>
        <w:numPr>
          <w:ilvl w:val="0"/>
          <w:numId w:val="13"/>
        </w:numPr>
        <w:spacing w:before="100" w:beforeAutospacing="1" w:after="100" w:afterAutospacing="1" w:line="240" w:lineRule="auto"/>
      </w:pPr>
      <w:r>
        <w:t>Promote ethical clinical practices and uphold patient rights and dignity.</w:t>
      </w:r>
    </w:p>
    <w:p w14:paraId="3CE0D92A">
      <w:pPr>
        <w:rPr>
          <w:lang w:val="en-GB"/>
        </w:rPr>
      </w:pPr>
    </w:p>
    <w:p w14:paraId="6728344B">
      <w:pPr>
        <w:widowControl/>
        <w:autoSpaceDE/>
        <w:autoSpaceDN/>
        <w:jc w:val="both"/>
      </w:pPr>
    </w:p>
    <w:p w14:paraId="1500E2D0">
      <w:pPr>
        <w:widowControl/>
        <w:autoSpaceDE/>
        <w:autoSpaceDN/>
        <w:jc w:val="both"/>
      </w:pPr>
    </w:p>
    <w:p w14:paraId="0E0E531B">
      <w:pPr>
        <w:ind w:right="94"/>
        <w:jc w:val="both"/>
      </w:pPr>
    </w:p>
    <w:tbl>
      <w:tblPr>
        <w:tblStyle w:val="14"/>
        <w:tblW w:w="11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Layout w:type="autofit"/>
        <w:tblCellMar>
          <w:top w:w="0" w:type="dxa"/>
          <w:left w:w="108" w:type="dxa"/>
          <w:bottom w:w="0" w:type="dxa"/>
          <w:right w:w="108" w:type="dxa"/>
        </w:tblCellMar>
      </w:tblPr>
      <w:tblGrid>
        <w:gridCol w:w="11303"/>
      </w:tblGrid>
      <w:tr w14:paraId="0849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CellMar>
            <w:top w:w="0" w:type="dxa"/>
            <w:left w:w="108" w:type="dxa"/>
            <w:bottom w:w="0" w:type="dxa"/>
            <w:right w:w="108" w:type="dxa"/>
          </w:tblCellMar>
        </w:tblPrEx>
        <w:trPr>
          <w:trHeight w:val="1086" w:hRule="atLeast"/>
        </w:trPr>
        <w:tc>
          <w:tcPr>
            <w:tcW w:w="11303" w:type="dxa"/>
            <w:shd w:val="clear" w:color="auto" w:fill="BEBEBE" w:themeFill="background1" w:themeFillShade="BF"/>
          </w:tcPr>
          <w:p w14:paraId="5696F113">
            <w:pPr>
              <w:ind w:right="94"/>
              <w:jc w:val="center"/>
              <w:rPr>
                <w:b/>
                <w:bCs/>
                <w:sz w:val="28"/>
                <w:szCs w:val="28"/>
              </w:rPr>
            </w:pPr>
            <w:r>
              <w:rPr>
                <w:b/>
                <w:bCs/>
                <w:sz w:val="28"/>
                <w:szCs w:val="28"/>
              </w:rPr>
              <w:t>How to apply</w:t>
            </w:r>
          </w:p>
          <w:p w14:paraId="77AB3D91">
            <w:pPr>
              <w:ind w:right="94"/>
              <w:jc w:val="both"/>
            </w:pPr>
            <w:r>
              <w:t>Thank to send your application with a resume, cover letter, to:</w:t>
            </w:r>
          </w:p>
          <w:p w14:paraId="7F65D171">
            <w:pPr>
              <w:ind w:right="94"/>
              <w:jc w:val="both"/>
              <w:rPr>
                <w:rtl/>
              </w:rPr>
            </w:pPr>
            <w:r>
              <w:fldChar w:fldCharType="begin"/>
            </w:r>
            <w:r>
              <w:instrText xml:space="preserve"> HYPERLINK "mailto:vacancy.syria@unponteper.it" </w:instrText>
            </w:r>
            <w:r>
              <w:fldChar w:fldCharType="separate"/>
            </w:r>
            <w:r>
              <w:rPr>
                <w:rStyle w:val="11"/>
              </w:rPr>
              <w:t>vacancy.syria@unponteper.it</w:t>
            </w:r>
            <w:r>
              <w:rPr>
                <w:rStyle w:val="11"/>
              </w:rPr>
              <w:fldChar w:fldCharType="end"/>
            </w:r>
          </w:p>
          <w:p w14:paraId="0020E04E">
            <w:pPr>
              <w:ind w:right="94"/>
              <w:jc w:val="both"/>
              <w:rPr>
                <w:rtl/>
                <w:lang w:bidi="ar-IQ"/>
              </w:rPr>
            </w:pPr>
            <w:r>
              <w:t xml:space="preserve">Deadline for submitting applications: </w:t>
            </w:r>
            <w:r>
              <w:rPr>
                <w:rFonts w:hint="cs" w:cs="Calibri"/>
                <w:rtl/>
                <w:lang w:val="en-US" w:bidi="ar-SY"/>
              </w:rPr>
              <w:t>17</w:t>
            </w:r>
            <w:r>
              <w:t>-</w:t>
            </w:r>
            <w:r>
              <w:rPr>
                <w:rFonts w:hint="default"/>
                <w:lang w:val="en-US"/>
              </w:rPr>
              <w:t>June</w:t>
            </w:r>
            <w:r>
              <w:t>-2026</w:t>
            </w:r>
          </w:p>
        </w:tc>
      </w:tr>
    </w:tbl>
    <w:p w14:paraId="0E99AEE1">
      <w:pPr>
        <w:ind w:right="94"/>
        <w:jc w:val="both"/>
      </w:pPr>
    </w:p>
    <w:p w14:paraId="38D6B416">
      <w:pPr>
        <w:pStyle w:val="7"/>
        <w:ind w:left="630" w:hanging="630"/>
        <w:rPr>
          <w:rFonts w:hAnsi="Arial" w:eastAsia="Arial" w:cs="Arial"/>
          <w:sz w:val="24"/>
          <w:szCs w:val="24"/>
        </w:rPr>
      </w:pPr>
    </w:p>
    <w:p w14:paraId="1FC79017">
      <w:pPr>
        <w:jc w:val="both"/>
        <w:rPr>
          <w:sz w:val="16"/>
        </w:rPr>
        <w:sectPr>
          <w:headerReference r:id="rId3" w:type="default"/>
          <w:footerReference r:id="rId4" w:type="default"/>
          <w:type w:val="continuous"/>
          <w:pgSz w:w="11910" w:h="16840"/>
          <w:pgMar w:top="2000" w:right="566" w:bottom="380" w:left="141" w:header="1806" w:footer="190" w:gutter="0"/>
          <w:cols w:space="720" w:num="1"/>
        </w:sectPr>
      </w:pPr>
    </w:p>
    <w:p w14:paraId="45EF874A">
      <w:pPr>
        <w:pStyle w:val="7"/>
        <w:rPr>
          <w:sz w:val="13"/>
        </w:rPr>
      </w:pPr>
    </w:p>
    <w:p w14:paraId="1125FFEC">
      <w:pPr>
        <w:pStyle w:val="2"/>
        <w:bidi/>
        <w:spacing w:before="0"/>
        <w:ind w:left="0" w:right="4092"/>
        <w:jc w:val="left"/>
      </w:pPr>
    </w:p>
    <w:sectPr>
      <w:headerReference r:id="rId5" w:type="default"/>
      <w:footerReference r:id="rId6" w:type="default"/>
      <w:type w:val="continuous"/>
      <w:pgSz w:w="11910" w:h="16840"/>
      <w:pgMar w:top="2000" w:right="566" w:bottom="380" w:left="141" w:header="1886" w:footer="2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C10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A622">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527050</wp:posOffset>
              </wp:positionH>
              <wp:positionV relativeFrom="page">
                <wp:posOffset>10369550</wp:posOffset>
              </wp:positionV>
              <wp:extent cx="6678930" cy="127000"/>
              <wp:effectExtent l="0" t="0" r="0" b="0"/>
              <wp:wrapNone/>
              <wp:docPr id="8" name="Textbox 8"/>
              <wp:cNvGraphicFramePr/>
              <a:graphic xmlns:a="http://schemas.openxmlformats.org/drawingml/2006/main">
                <a:graphicData uri="http://schemas.microsoft.com/office/word/2010/wordprocessingShape">
                  <wps:wsp>
                    <wps:cNvSpPr txBox="1"/>
                    <wps:spPr>
                      <a:xfrm>
                        <a:off x="0" y="0"/>
                        <a:ext cx="6678930" cy="127000"/>
                      </a:xfrm>
                      <a:prstGeom prst="rect">
                        <a:avLst/>
                      </a:prstGeom>
                    </wps:spPr>
                    <wps:txbx>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 id="Textbox 8" o:spid="_x0000_s1026" o:spt="202" type="#_x0000_t202" style="position:absolute;left:0pt;margin-left:41.5pt;margin-top:816.5pt;height:10pt;width:525.9pt;mso-position-horizontal-relative:page;mso-position-vertical-relative:page;z-index:-251657216;mso-width-relative:page;mso-height-relative:page;" filled="f" stroked="f" coordsize="21600,21600" o:gfxdata="UEsDBAoAAAAAAIdO4kAAAAAAAAAAAAAAAAAEAAAAZHJzL1BLAwQUAAAACACHTuJAXD2KrdgAAAAN&#10;AQAADwAAAGRycy9kb3ducmV2LnhtbE2PT0+EMBDF7yZ+h2ZMvLktomRFysYYPZkYWTx4LHQWyNIp&#10;0u4fv73DSW8zv3l5816xObtRHHEOgycNyUqBQGq9HajT8Fm/3qxBhGjImtETavjBAJvy8qIwufUn&#10;qvC4jZ1gEwq50dDHOOVShrZHZ8LKT0h82/nZmcjr3Ek7mxObu1HeKpVJZwbiD72Z8LnHdr89OA1P&#10;X1S9DN/vzUe1q4a6flD0lu21vr5K1COIiOf4J4YlPkeHkjM1/kA2iFHDOuUqkXmWLtOiSNI7btMs&#10;7J6ZLAv5v0X5C1BLAwQUAAAACACHTuJAU3Q9HrIBAAB0AwAADgAAAGRycy9lMm9Eb2MueG1srVPB&#10;jtMwEL0j8Q+W7zRpkbolaroCKhASAqRdPsBx7MZS7DFjt0n/nrGTdFfLZQ9ckvHM5M17b5z9/Wh7&#10;dlEYDLiar1clZ8pJaI071fz345d3O85CFK4VPThV86sK/P7w9s1+8JXaQAd9q5ARiAvV4Gvexeir&#10;ogiyU1aEFXjlqKgBrYh0xFPRohgI3fbFpiy3xQDYegSpQqDscSryGRFfAwhaG6mOIM9WuTihoupF&#10;JEmhMz7wQ2artZLxp9ZBRdbXnJTG/KQhFDfpWRz2ojqh8J2RMwXxGgovNFlhHA29QR1FFOyM5h8o&#10;ayRCAB1XEmwxCcmOkIp1+cKbh054lbWQ1cHfTA//D1b+uPxCZtqa09qdsLTwRzXGBka2S+YMPlTU&#10;8+CpK46fYKQrs+QDJZPmUaNNb1LDqE7WXm/WEhaTlNxu73Yf3lNJUm29uSvL7H3x9LXHEL8qsCwF&#10;NUdaXXZUXL6HSEyodWmhQ+I1zU9RHJtxJttAeyWuA6205uHPWaDirP/myLO0/yXAJWiWAGP/GfIt&#10;SVocfDxH0CZPTiMm3HkyLSMTmi9O2vbzc+56+lkO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PYqt2AAAAA0BAAAPAAAAAAAAAAEAIAAAACIAAABkcnMvZG93bnJldi54bWxQSwECFAAUAAAACACH&#10;TuJAU3Q9HrIBAAB0AwAADgAAAAAAAAABACAAAAAnAQAAZHJzL2Uyb0RvYy54bWxQSwUGAAAAAAYA&#10;BgBZAQAASwUAAAAA&#10;">
              <v:fill on="f" focussize="0,0"/>
              <v:stroke on="f"/>
              <v:imagedata o:title=""/>
              <o:lock v:ext="edit" aspectratio="f"/>
              <v:textbox inset="0mm,0mm,0mm,0mm">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46B1">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438150</wp:posOffset>
              </wp:positionH>
              <wp:positionV relativeFrom="page">
                <wp:posOffset>1146810</wp:posOffset>
              </wp:positionV>
              <wp:extent cx="160274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612D2C2">
                          <w:pPr>
                            <w:spacing w:line="203" w:lineRule="exact"/>
                            <w:ind w:left="20"/>
                            <w:rPr>
                              <w:rFonts w:hint="cs" w:ascii="Calibri Light" w:cs="Calibri"/>
                              <w:sz w:val="18"/>
                              <w:lang w:val="en-US" w:bidi="ar-SY"/>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34.5pt;margin-top:90.3pt;height:11pt;width:126.2pt;mso-position-horizontal-relative:page;mso-position-vertical-relative:page;z-index:-251657216;mso-width-relative:page;mso-height-relative:page;" filled="f" stroked="f" coordsize="21600,21600" o:gfxdata="UEsDBAoAAAAAAIdO4kAAAAAAAAAAAAAAAAAEAAAAZHJzL1BLAwQUAAAACACHTuJAM8EB99kAAAAK&#10;AQAADwAAAGRycy9kb3ducmV2LnhtbE2PzU7DMBCE70i8g7WVuFE7AVltGqdCCE5IiDQcODqxm1iN&#10;1yF2f3h7lhM9zs5o9ptye/EjO9k5uoAKsqUAZrELxmGv4LN5vV8Bi0mj0WNAq+DHRthWtzelLkw4&#10;Y21Pu9QzKsFYaAVDSlPBeewG63Vchskiefswe51Izj03sz5TuR95LoTkXjukD4Oe7PNgu8Pu6BU8&#10;fWH94r7f2496X7umWQt8kwel7haZ2ABL9pL+w/CHT+hQEVMbjmgiGxXINU1JdF8JCYwCD3n2CKxV&#10;kItcAq9Kfj2h+gVQSwMEFAAAAAgAh07iQPZlgrmxAQAAdAMAAA4AAABkcnMvZTJvRG9jLnhtbK1T&#10;wY7TMBC9I/EPlu80aUG7EDVdARUICcFKu3yA49hNpNhjZtwm/XvGTtpFy2UPXJyxZ/zevDfO9m5y&#10;gzgZpB58LderUgrjNbS9P9Ty1+OXN++loKh8qwbwppZnQ/Ju9/rVdgyV2UAHQ2tQMIinagy17GIM&#10;VVGQ7oxTtIJgPCctoFORt3goWlQjo7uh2JTlTTECtgFBGyI+3c9JuSDiSwDB2l6bPeijMz7OqGgG&#10;FVkSdX0gucvdWmt0/GktmSiGWrLSmFcm4bhJa7HbquqAKnS9XlpQL2nhmSanes+kV6i9ikocsf8H&#10;yvUagcDGlQZXzEKyI6xiXT7z5qFTwWQtbDWFq+n0/2D1j9M9ir7llyCFV44H/mim2MAk1smcMVDF&#10;NQ+Bq+L0CaZUuJwTHybNk0WXvqxGcJ6tPV+tZSyh06WbcnP7jlOac+u3H27L7H3xdDsgxa8GnEhB&#10;LZFHlx1Vp+8UmZFLLyW8SX3N/CmKUzMtTTXQnrnXkUdaS/p9VGikGL559izN/xLgJWguAcbhM+RX&#10;krR4+HiMYPvMnChm3IWZh5EbWh5Omvbf+1z19LP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wQH32QAAAAoBAAAPAAAAAAAAAAEAIAAAACIAAABkcnMvZG93bnJldi54bWxQSwECFAAUAAAACACH&#10;TuJA9mWCubEBAAB0AwAADgAAAAAAAAABACAAAAAoAQAAZHJzL2Uyb0RvYy54bWxQSwUGAAAAAAYA&#10;BgBZAQAASwUAAAAA&#10;">
              <v:fill on="f" focussize="0,0"/>
              <v:stroke on="f"/>
              <v:imagedata o:title=""/>
              <o:lock v:ext="edit" aspectratio="f"/>
              <v:textbox inset="0mm,0mm,0mm,0mm">
                <w:txbxContent>
                  <w:p w14:paraId="1612D2C2">
                    <w:pPr>
                      <w:spacing w:line="203" w:lineRule="exact"/>
                      <w:ind w:left="20"/>
                      <w:rPr>
                        <w:rFonts w:hint="cs" w:ascii="Calibri Light" w:cs="Calibri"/>
                        <w:sz w:val="18"/>
                        <w:lang w:val="en-US" w:bidi="ar-SY"/>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D064">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800100</wp:posOffset>
              </wp:positionH>
              <wp:positionV relativeFrom="page">
                <wp:posOffset>1197610</wp:posOffset>
              </wp:positionV>
              <wp:extent cx="160274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 id="Textbox 7" o:spid="_x0000_s1026" o:spt="202" type="#_x0000_t202" style="position:absolute;left:0pt;margin-left:63pt;margin-top:94.3pt;height:11pt;width:126.2pt;mso-position-horizontal-relative:page;mso-position-vertical-relative:page;z-index:-251657216;mso-width-relative:page;mso-height-relative:page;" filled="f" stroked="f" coordsize="21600,21600" o:gfxdata="UEsDBAoAAAAAAIdO4kAAAAAAAAAAAAAAAAAEAAAAZHJzL1BLAwQUAAAACACHTuJA5lkB2tkAAAAL&#10;AQAADwAAAGRycy9kb3ducmV2LnhtbE2PvU7EMBCEeyTewVokOs5OQCaEOCeEoEJC5EJB6cS+xLp4&#10;HWLfD2/PUnHdjnY08021PvmJHewSXUAF2UoAs9gH43BQ8Nm+3hTAYtJo9BTQKvixEdb15UWlSxOO&#10;2NjDJg2MQjCWWsGY0lxyHvvReh1XYbZIv21YvE4kl4GbRR8p3E88F0Jyrx1Sw6hn+zzafrfZewVP&#10;X9i8uO/37qPZNq5tHwS+yZ1S11eZeASW7Cn9m+EPn9ChJqYu7NFENpHOJW1JdBSFBEaO2/viDlin&#10;IM+EBF5X/HxD/QtQSwMEFAAAAAgAh07iQNU5kdOyAQAAdAMAAA4AAABkcnMvZTJvRG9jLnhtbK1T&#10;wY7TMBC9I/EPlu80aUFbiJquFioQEoKVdvkAx7EbS7HHjN0m/XvGTtJFy2UPe3HGnvGb9944u9vR&#10;9uysMBhwNV+vSs6Uk9Aad6z578ev7z5yFqJwrejBqZpfVOC3+7dvdoOv1AY66FuFjEBcqAZf8y5G&#10;XxVFkJ2yIqzAK0dJDWhFpC0eixbFQOi2LzZleVMMgK1HkCoEOj1MST4j4ksAQWsj1QHkySoXJ1RU&#10;vYgkKXTGB77PbLVWMv7SOqjI+pqT0phXakJxk9ZivxPVEYXvjJwpiJdQeKbJCuOo6RXqIKJgJzT/&#10;QVkjEQLouJJgi0lIdoRUrMtn3jx0wqushawO/mp6eD1Y+fN8j8y0Nd9y5oSlgT+qMTYwsm0yZ/Ch&#10;opoHT1Vx/AwjPZnlPNBh0jxqtOlLahjlydrL1VrCYjJduik32w+UkpRbv/+0LbP3xdNtjyF+U2BZ&#10;CmqONLrsqDj/CJGYUOlSQpvEa+qfojg240y2gfZCXAcaac3Dn5NAxVn/3ZFnaf5LgEvQLAHG/gvk&#10;V5K0OLg7RdAmd04tJty5Mw0jE5ofTpr2v/tc9fSz7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lkB2tkAAAALAQAADwAAAAAAAAABACAAAAAiAAAAZHJzL2Rvd25yZXYueG1sUEsBAhQAFAAAAAgA&#10;h07iQNU5kdOyAQAAdAMAAA4AAAAAAAAAAQAgAAAAKAEAAGRycy9lMm9Eb2MueG1sUEsFBgAAAAAG&#10;AAYAWQEAAEwFAAAAAA==&#10;">
              <v:fill on="f" focussize="0,0"/>
              <v:stroke on="f"/>
              <v:imagedata o:title=""/>
              <o:lock v:ext="edit" aspectratio="f"/>
              <v:textbox inset="0mm,0mm,0mm,0mm">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45E99"/>
    <w:multiLevelType w:val="multilevel"/>
    <w:tmpl w:val="33A45E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65067FE"/>
    <w:multiLevelType w:val="multilevel"/>
    <w:tmpl w:val="365067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6C442BF"/>
    <w:multiLevelType w:val="multilevel"/>
    <w:tmpl w:val="36C442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6F73B57"/>
    <w:multiLevelType w:val="multilevel"/>
    <w:tmpl w:val="46F73B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C8541FC"/>
    <w:multiLevelType w:val="multilevel"/>
    <w:tmpl w:val="4C8541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E7F25DD"/>
    <w:multiLevelType w:val="multilevel"/>
    <w:tmpl w:val="4E7F25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0A21ED5"/>
    <w:multiLevelType w:val="multilevel"/>
    <w:tmpl w:val="50A21E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6AE16EB"/>
    <w:multiLevelType w:val="multilevel"/>
    <w:tmpl w:val="56AE16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E3729D5"/>
    <w:multiLevelType w:val="multilevel"/>
    <w:tmpl w:val="5E3729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33067DC"/>
    <w:multiLevelType w:val="multilevel"/>
    <w:tmpl w:val="633067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C0C5064"/>
    <w:multiLevelType w:val="multilevel"/>
    <w:tmpl w:val="6C0C50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97697D"/>
    <w:multiLevelType w:val="multilevel"/>
    <w:tmpl w:val="799769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F1A6BCB"/>
    <w:multiLevelType w:val="multilevel"/>
    <w:tmpl w:val="7F1A6B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11"/>
  </w:num>
  <w:num w:numId="3">
    <w:abstractNumId w:val="2"/>
  </w:num>
  <w:num w:numId="4">
    <w:abstractNumId w:val="12"/>
  </w:num>
  <w:num w:numId="5">
    <w:abstractNumId w:val="0"/>
  </w:num>
  <w:num w:numId="6">
    <w:abstractNumId w:val="4"/>
  </w:num>
  <w:num w:numId="7">
    <w:abstractNumId w:val="8"/>
  </w:num>
  <w:num w:numId="8">
    <w:abstractNumId w:val="5"/>
  </w:num>
  <w:num w:numId="9">
    <w:abstractNumId w:val="1"/>
  </w:num>
  <w:num w:numId="10">
    <w:abstractNumId w:val="6"/>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3C"/>
    <w:rsid w:val="00022C33"/>
    <w:rsid w:val="0005585B"/>
    <w:rsid w:val="000D608F"/>
    <w:rsid w:val="0010153E"/>
    <w:rsid w:val="001C3487"/>
    <w:rsid w:val="001E75B2"/>
    <w:rsid w:val="0025390C"/>
    <w:rsid w:val="002902DF"/>
    <w:rsid w:val="0037340E"/>
    <w:rsid w:val="003C4D41"/>
    <w:rsid w:val="004C103C"/>
    <w:rsid w:val="00604A62"/>
    <w:rsid w:val="00694098"/>
    <w:rsid w:val="006A1342"/>
    <w:rsid w:val="007A23E5"/>
    <w:rsid w:val="007E1D12"/>
    <w:rsid w:val="00863534"/>
    <w:rsid w:val="009B538B"/>
    <w:rsid w:val="00A1144A"/>
    <w:rsid w:val="00AE6F59"/>
    <w:rsid w:val="00AF2A64"/>
    <w:rsid w:val="00BD4865"/>
    <w:rsid w:val="00BE59E3"/>
    <w:rsid w:val="00DA2BE1"/>
    <w:rsid w:val="00E51543"/>
    <w:rsid w:val="00EA24D7"/>
    <w:rsid w:val="132E5F1B"/>
    <w:rsid w:val="54360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link w:val="20"/>
    <w:qFormat/>
    <w:uiPriority w:val="9"/>
    <w:pPr>
      <w:spacing w:before="1"/>
      <w:ind w:left="274"/>
      <w:jc w:val="center"/>
      <w:outlineLvl w:val="0"/>
    </w:pPr>
    <w:rPr>
      <w:b/>
      <w:bCs/>
      <w:sz w:val="30"/>
      <w:szCs w:val="30"/>
    </w:rPr>
  </w:style>
  <w:style w:type="paragraph" w:styleId="3">
    <w:name w:val="heading 2"/>
    <w:basedOn w:val="1"/>
    <w:next w:val="1"/>
    <w:unhideWhenUsed/>
    <w:qFormat/>
    <w:uiPriority w:val="9"/>
    <w:pPr>
      <w:outlineLvl w:val="1"/>
    </w:pPr>
    <w:rPr>
      <w:rFonts w:ascii="Arial" w:hAnsi="Arial" w:eastAsia="Arial" w:cs="Arial"/>
      <w:b/>
      <w:bCs/>
      <w:sz w:val="24"/>
      <w:szCs w:val="24"/>
    </w:rPr>
  </w:style>
  <w:style w:type="paragraph" w:styleId="4">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1"/>
    <w:qFormat/>
    <w:uiPriority w:val="1"/>
  </w:style>
  <w:style w:type="character" w:styleId="8">
    <w:name w:val="Emphasis"/>
    <w:basedOn w:val="5"/>
    <w:qFormat/>
    <w:uiPriority w:val="20"/>
    <w:rPr>
      <w:i/>
      <w:iCs/>
    </w:r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basedOn w:val="5"/>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1469" w:hanging="359"/>
      <w:jc w:val="both"/>
    </w:pPr>
  </w:style>
  <w:style w:type="paragraph" w:customStyle="1" w:styleId="16">
    <w:name w:val="Table Paragraph"/>
    <w:basedOn w:val="1"/>
    <w:qFormat/>
    <w:uiPriority w:val="1"/>
  </w:style>
  <w:style w:type="character" w:customStyle="1" w:styleId="17">
    <w:name w:val="Header Char"/>
    <w:basedOn w:val="5"/>
    <w:link w:val="10"/>
    <w:qFormat/>
    <w:uiPriority w:val="99"/>
    <w:rPr>
      <w:rFonts w:ascii="Calibri" w:hAnsi="Calibri" w:eastAsia="Calibri" w:cs="Calibri"/>
    </w:rPr>
  </w:style>
  <w:style w:type="character" w:customStyle="1" w:styleId="18">
    <w:name w:val="Footer Char"/>
    <w:basedOn w:val="5"/>
    <w:link w:val="9"/>
    <w:qFormat/>
    <w:uiPriority w:val="99"/>
    <w:rPr>
      <w:rFonts w:ascii="Calibri" w:hAnsi="Calibri" w:eastAsia="Calibri" w:cs="Calibri"/>
    </w:rPr>
  </w:style>
  <w:style w:type="character" w:customStyle="1" w:styleId="19">
    <w:name w:val="Heading 3 Char"/>
    <w:basedOn w:val="5"/>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0">
    <w:name w:val="Heading 1 Char"/>
    <w:basedOn w:val="5"/>
    <w:link w:val="2"/>
    <w:qFormat/>
    <w:uiPriority w:val="9"/>
    <w:rPr>
      <w:rFonts w:ascii="Calibri" w:hAnsi="Calibri" w:eastAsia="Calibri" w:cs="Calibri"/>
      <w:b/>
      <w:bCs/>
      <w:sz w:val="30"/>
      <w:szCs w:val="30"/>
    </w:rPr>
  </w:style>
  <w:style w:type="character" w:customStyle="1" w:styleId="21">
    <w:name w:val="Body Text Char"/>
    <w:basedOn w:val="5"/>
    <w:link w:val="7"/>
    <w:qFormat/>
    <w:uiPriority w:val="1"/>
    <w:rPr>
      <w:rFonts w:ascii="Calibri" w:hAnsi="Calibri" w:eastAsia="Calibri" w:cs="Calibri"/>
    </w:rPr>
  </w:style>
  <w:style w:type="character" w:customStyle="1" w:styleId="2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D59F2-7211-4850-8AAF-FD7B16B053C8}">
  <ds:schemaRefs/>
</ds:datastoreItem>
</file>

<file path=customXml/itemProps3.xml><?xml version="1.0" encoding="utf-8"?>
<ds:datastoreItem xmlns:ds="http://schemas.openxmlformats.org/officeDocument/2006/customXml" ds:itemID="{018B0CD4-D335-47EC-940A-9E526E1B5718}">
  <ds:schemaRefs/>
</ds:datastoreItem>
</file>

<file path=customXml/itemProps4.xml><?xml version="1.0" encoding="utf-8"?>
<ds:datastoreItem xmlns:ds="http://schemas.openxmlformats.org/officeDocument/2006/customXml" ds:itemID="{E61D8A0D-6AF1-4DF2-A7FC-57FAD2FB76D4}">
  <ds:schemaRefs/>
</ds:datastoreItem>
</file>

<file path=docProps/app.xml><?xml version="1.0" encoding="utf-8"?>
<Properties xmlns="http://schemas.openxmlformats.org/officeDocument/2006/extended-properties" xmlns:vt="http://schemas.openxmlformats.org/officeDocument/2006/docPropsVTypes">
  <Template>Normal</Template>
  <Pages>3</Pages>
  <Words>935</Words>
  <Characters>6606</Characters>
  <Lines>29</Lines>
  <Paragraphs>8</Paragraphs>
  <TotalTime>0</TotalTime>
  <ScaleCrop>false</ScaleCrop>
  <LinksUpToDate>false</LinksUpToDate>
  <CharactersWithSpaces>7459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2026-02-06T14:38:00Z</dcterms:created>
  <dc:creator>Laith</dc:creator>
  <cp:lastModifiedBy>windows</cp:lastModifiedBy>
  <dcterms:modified xsi:type="dcterms:W3CDTF">2026-06-07T11:55:42Z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KSOTemplateDocerSaveRecord">
    <vt:lpwstr>eyJoZGlkIjoiYzJjNmI1OTMyMDg2YTI1NDlmNjA0NWIwNTc5NjNhNzkifQ==</vt:lpwstr>
  </property>
  <property fmtid="{D5CDD505-2E9C-101B-9397-08002B2CF9AE}" pid="9" name="KSOProductBuildVer">
    <vt:lpwstr>1033-12.1.0.26880</vt:lpwstr>
  </property>
  <property fmtid="{D5CDD505-2E9C-101B-9397-08002B2CF9AE}" pid="10" name="ICV">
    <vt:lpwstr>6B5674F1659740BA9C580C6BFA16A904_12</vt:lpwstr>
  </property>
</Properties>
</file>